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default" w:ascii="仿宋" w:hAnsi="宋体" w:eastAsia="仿宋" w:cs="宋体"/>
          <w:bCs/>
          <w:kern w:val="0"/>
          <w:sz w:val="32"/>
          <w:szCs w:val="28"/>
          <w:highlight w:val="none"/>
          <w:lang w:val="en-US" w:eastAsia="zh-CN"/>
        </w:rPr>
      </w:pPr>
      <w:bookmarkStart w:id="0" w:name="_Toc3282752"/>
      <w:r>
        <w:rPr>
          <w:rFonts w:hint="eastAsia" w:ascii="仿宋" w:hAnsi="宋体" w:eastAsia="仿宋" w:cs="宋体"/>
          <w:bCs/>
          <w:kern w:val="0"/>
          <w:sz w:val="32"/>
          <w:szCs w:val="28"/>
          <w:highlight w:val="no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课程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替代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申请流程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审核流：学生申请—学生学院教研室主任—教务处审核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替代方法：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校内</w:t>
      </w:r>
      <w:r>
        <w:rPr>
          <w:rFonts w:hint="eastAsia" w:ascii="宋体" w:hAnsi="宋体" w:eastAsia="宋体" w:cs="宋体"/>
          <w:sz w:val="24"/>
          <w:szCs w:val="24"/>
        </w:rPr>
        <w:t>课程替代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或者校内课程学分节点替代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路径：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如下图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3749040" cy="374078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sz w:val="24"/>
          <w:szCs w:val="24"/>
        </w:rPr>
        <w:t>操作：点击申请，勾选右侧替代课程和左侧被替代课程，填写替代原因，点击“确定”，申请记录是保存状态的，需要勾选，点击右上角提交按钮；流程跟踪里面可以看到各个环节的审批情况。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DBjNTM2MjBlYjBmNzdlZjQxZDk0YmRmYmZmMWIifQ=="/>
  </w:docVars>
  <w:rsids>
    <w:rsidRoot w:val="4C9A0869"/>
    <w:rsid w:val="4C9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uppressAutoHyphens/>
      <w:spacing w:before="120"/>
    </w:pPr>
    <w:rPr>
      <w:rFonts w:ascii="Arial" w:hAnsi="Arial" w:eastAsia="仿宋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2025-01-06T06:33:00Z</dcterms:created>
  <dc:creator>付刘佳</dc:creator>
  <cp:lastModifiedBy>付刘佳</cp:lastModifiedBy>
  <dcterms:modified xsi:type="dcterms:W3CDTF">2025-01-06T06:34:05Z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A77E556F04A545639F7B947FD00F2C7B_11</vt:lpwstr>
  </property>
</Properties>
</file>